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EB57E5" w:rsidRDefault="002453CF" w:rsidP="00832AD7">
      <w:pPr>
        <w:spacing w:after="0" w:line="240" w:lineRule="auto"/>
        <w:rPr>
          <w:rFonts w:ascii="FrankRuehl" w:hAnsi="FrankRuehl" w:cs="FrankRuehl"/>
          <w:b/>
          <w:bCs/>
          <w:sz w:val="16"/>
          <w:szCs w:val="16"/>
          <w:rtl/>
        </w:rPr>
      </w:pPr>
      <w:bookmarkStart w:id="0" w:name="_GoBack"/>
      <w:bookmarkEnd w:id="0"/>
      <w:r w:rsidRPr="00EB57E5">
        <w:rPr>
          <w:rFonts w:ascii="FrankRuehl" w:hAnsi="FrankRuehl" w:cs="FrankRuehl"/>
          <w:b/>
          <w:bCs/>
          <w:sz w:val="24"/>
          <w:szCs w:val="24"/>
          <w:rtl/>
        </w:rPr>
        <w:t xml:space="preserve">                                 </w:t>
      </w:r>
      <w:r w:rsidR="006B7B96" w:rsidRPr="00EB57E5">
        <w:rPr>
          <w:rFonts w:ascii="FrankRuehl" w:hAnsi="FrankRuehl" w:cs="FrankRuehl"/>
          <w:b/>
          <w:bCs/>
          <w:sz w:val="24"/>
          <w:szCs w:val="24"/>
          <w:rtl/>
        </w:rPr>
        <w:t xml:space="preserve">           </w:t>
      </w:r>
      <w:r w:rsidR="00631744" w:rsidRPr="00EB57E5">
        <w:rPr>
          <w:rFonts w:ascii="FrankRuehl" w:hAnsi="FrankRuehl" w:cs="FrankRuehl"/>
          <w:b/>
          <w:bCs/>
          <w:sz w:val="24"/>
          <w:szCs w:val="24"/>
          <w:rtl/>
        </w:rPr>
        <w:t xml:space="preserve">           </w:t>
      </w:r>
      <w:r w:rsidR="006C3B1F" w:rsidRPr="00EB57E5">
        <w:rPr>
          <w:rFonts w:ascii="FrankRuehl" w:hAnsi="FrankRuehl" w:cs="FrankRuehl"/>
          <w:b/>
          <w:bCs/>
          <w:sz w:val="24"/>
          <w:szCs w:val="24"/>
          <w:rtl/>
        </w:rPr>
        <w:t xml:space="preserve">   </w:t>
      </w:r>
      <w:r w:rsidRPr="00EB57E5">
        <w:rPr>
          <w:rFonts w:ascii="FrankRuehl" w:hAnsi="FrankRuehl" w:cs="FrankRuehl"/>
          <w:b/>
          <w:bCs/>
          <w:sz w:val="24"/>
          <w:szCs w:val="24"/>
          <w:rtl/>
        </w:rPr>
        <w:t xml:space="preserve">  </w:t>
      </w:r>
      <w:r w:rsidR="001D42A7" w:rsidRPr="00EB57E5">
        <w:rPr>
          <w:rFonts w:ascii="FrankRuehl" w:hAnsi="FrankRuehl" w:cs="FrankRuehl"/>
          <w:b/>
          <w:bCs/>
          <w:rtl/>
        </w:rPr>
        <w:t xml:space="preserve">  </w:t>
      </w:r>
    </w:p>
    <w:p w:rsidR="00983123" w:rsidRPr="00EB57E5" w:rsidRDefault="00983123" w:rsidP="00EB57E5">
      <w:pPr>
        <w:spacing w:after="0" w:line="240" w:lineRule="auto"/>
        <w:jc w:val="right"/>
        <w:rPr>
          <w:rFonts w:ascii="FrankRuehl" w:eastAsia="Times New Roman" w:hAnsi="FrankRuehl" w:cs="FrankRuehl"/>
          <w:sz w:val="16"/>
          <w:szCs w:val="16"/>
        </w:rPr>
      </w:pPr>
      <w:r w:rsidRPr="00EB57E5">
        <w:rPr>
          <w:rFonts w:ascii="FrankRuehl" w:eastAsia="Times New Roman" w:hAnsi="FrankRuehl" w:cs="FrankRuehl"/>
          <w:sz w:val="16"/>
          <w:szCs w:val="16"/>
          <w:rtl/>
        </w:rPr>
        <w:fldChar w:fldCharType="begin"/>
      </w:r>
      <w:r w:rsidRPr="00EB57E5">
        <w:rPr>
          <w:rFonts w:ascii="FrankRuehl" w:eastAsia="Times New Roman" w:hAnsi="FrankRuehl" w:cs="FrankRuehl"/>
          <w:sz w:val="16"/>
          <w:szCs w:val="16"/>
          <w:rtl/>
        </w:rPr>
        <w:instrText xml:space="preserve"> </w:instrText>
      </w:r>
      <w:r w:rsidRPr="00EB57E5">
        <w:rPr>
          <w:rFonts w:ascii="FrankRuehl" w:eastAsia="Times New Roman" w:hAnsi="FrankRuehl" w:cs="FrankRuehl"/>
          <w:sz w:val="16"/>
          <w:szCs w:val="16"/>
        </w:rPr>
        <w:instrText>DOCPROPERTY  DocDateEng  \* MERGEFORMAT</w:instrText>
      </w:r>
      <w:r w:rsidRPr="00EB57E5">
        <w:rPr>
          <w:rFonts w:ascii="FrankRuehl" w:eastAsia="Times New Roman" w:hAnsi="FrankRuehl" w:cs="FrankRuehl"/>
          <w:sz w:val="16"/>
          <w:szCs w:val="16"/>
          <w:rtl/>
        </w:rPr>
        <w:instrText xml:space="preserve"> </w:instrText>
      </w:r>
      <w:r w:rsidRPr="00EB57E5">
        <w:rPr>
          <w:rFonts w:ascii="FrankRuehl" w:eastAsia="Times New Roman" w:hAnsi="FrankRuehl" w:cs="FrankRuehl"/>
          <w:sz w:val="16"/>
          <w:szCs w:val="16"/>
          <w:rtl/>
        </w:rPr>
        <w:fldChar w:fldCharType="separate"/>
      </w:r>
      <w:r w:rsidRPr="00EB57E5">
        <w:rPr>
          <w:rFonts w:ascii="FrankRuehl" w:eastAsia="Times New Roman" w:hAnsi="FrankRuehl" w:cs="FrankRuehl"/>
          <w:sz w:val="16"/>
          <w:szCs w:val="16"/>
          <w:rtl/>
        </w:rPr>
        <w:t>0</w:t>
      </w:r>
      <w:r w:rsidR="00EB57E5" w:rsidRPr="00EB57E5">
        <w:rPr>
          <w:rFonts w:ascii="FrankRuehl" w:eastAsia="Times New Roman" w:hAnsi="FrankRuehl" w:cs="FrankRuehl"/>
          <w:sz w:val="16"/>
          <w:szCs w:val="16"/>
          <w:rtl/>
        </w:rPr>
        <w:t>3</w:t>
      </w:r>
      <w:r w:rsidRPr="00EB57E5">
        <w:rPr>
          <w:rFonts w:ascii="FrankRuehl" w:eastAsia="Times New Roman" w:hAnsi="FrankRuehl" w:cs="FrankRuehl"/>
          <w:sz w:val="16"/>
          <w:szCs w:val="16"/>
          <w:rtl/>
        </w:rPr>
        <w:t xml:space="preserve"> בפברואר 2025</w:t>
      </w:r>
      <w:r w:rsidRPr="00EB57E5">
        <w:rPr>
          <w:rFonts w:ascii="FrankRuehl" w:eastAsia="Times New Roman" w:hAnsi="FrankRuehl" w:cs="FrankRuehl"/>
          <w:sz w:val="16"/>
          <w:szCs w:val="16"/>
          <w:rtl/>
        </w:rPr>
        <w:fldChar w:fldCharType="end"/>
      </w:r>
    </w:p>
    <w:p w:rsidR="00983123" w:rsidRPr="00EB57E5" w:rsidRDefault="00983123" w:rsidP="00EB57E5">
      <w:pPr>
        <w:spacing w:after="0" w:line="240" w:lineRule="auto"/>
        <w:jc w:val="right"/>
        <w:rPr>
          <w:rFonts w:ascii="FrankRuehl" w:eastAsia="Times New Roman" w:hAnsi="FrankRuehl" w:cs="FrankRuehl"/>
          <w:sz w:val="16"/>
          <w:szCs w:val="16"/>
          <w:rtl/>
        </w:rPr>
      </w:pPr>
      <w:r w:rsidRPr="00EB57E5">
        <w:rPr>
          <w:rFonts w:ascii="FrankRuehl" w:eastAsia="Times New Roman" w:hAnsi="FrankRuehl" w:cs="FrankRuehl"/>
          <w:sz w:val="16"/>
          <w:szCs w:val="16"/>
          <w:rtl/>
        </w:rPr>
        <w:t xml:space="preserve">                                                                                                   </w:t>
      </w:r>
      <w:r w:rsidRPr="00EB57E5">
        <w:rPr>
          <w:rFonts w:ascii="FrankRuehl" w:eastAsia="Times New Roman" w:hAnsi="FrankRuehl" w:cs="FrankRuehl"/>
          <w:sz w:val="16"/>
          <w:szCs w:val="16"/>
          <w:rtl/>
        </w:rPr>
        <w:fldChar w:fldCharType="begin"/>
      </w:r>
      <w:r w:rsidRPr="00EB57E5">
        <w:rPr>
          <w:rFonts w:ascii="FrankRuehl" w:eastAsia="Times New Roman" w:hAnsi="FrankRuehl" w:cs="FrankRuehl"/>
          <w:sz w:val="16"/>
          <w:szCs w:val="16"/>
          <w:rtl/>
        </w:rPr>
        <w:instrText xml:space="preserve"> </w:instrText>
      </w:r>
      <w:r w:rsidRPr="00EB57E5">
        <w:rPr>
          <w:rFonts w:ascii="FrankRuehl" w:eastAsia="Times New Roman" w:hAnsi="FrankRuehl" w:cs="FrankRuehl"/>
          <w:sz w:val="16"/>
          <w:szCs w:val="16"/>
        </w:rPr>
        <w:instrText>DOCPROPERTY  DocDateHeb  \* MERGEFORMAT</w:instrText>
      </w:r>
      <w:r w:rsidRPr="00EB57E5">
        <w:rPr>
          <w:rFonts w:ascii="FrankRuehl" w:eastAsia="Times New Roman" w:hAnsi="FrankRuehl" w:cs="FrankRuehl"/>
          <w:sz w:val="16"/>
          <w:szCs w:val="16"/>
          <w:rtl/>
        </w:rPr>
        <w:instrText xml:space="preserve"> </w:instrText>
      </w:r>
      <w:r w:rsidRPr="00EB57E5">
        <w:rPr>
          <w:rFonts w:ascii="FrankRuehl" w:eastAsia="Times New Roman" w:hAnsi="FrankRuehl" w:cs="FrankRuehl"/>
          <w:sz w:val="16"/>
          <w:szCs w:val="16"/>
          <w:rtl/>
        </w:rPr>
        <w:fldChar w:fldCharType="separate"/>
      </w:r>
      <w:r w:rsidR="00EB57E5" w:rsidRPr="00EB57E5">
        <w:rPr>
          <w:rFonts w:ascii="FrankRuehl" w:eastAsia="Times New Roman" w:hAnsi="FrankRuehl" w:cs="FrankRuehl"/>
          <w:sz w:val="16"/>
          <w:szCs w:val="16"/>
          <w:rtl/>
        </w:rPr>
        <w:t>ה</w:t>
      </w:r>
      <w:r w:rsidRPr="00EB57E5">
        <w:rPr>
          <w:rFonts w:ascii="FrankRuehl" w:eastAsia="Times New Roman" w:hAnsi="FrankRuehl" w:cs="FrankRuehl"/>
          <w:sz w:val="16"/>
          <w:szCs w:val="16"/>
          <w:rtl/>
        </w:rPr>
        <w:t>' בשבט תשפ"ה</w:t>
      </w:r>
      <w:r w:rsidRPr="00EB57E5">
        <w:rPr>
          <w:rFonts w:ascii="FrankRuehl" w:eastAsia="Times New Roman" w:hAnsi="FrankRuehl" w:cs="FrankRuehl"/>
          <w:sz w:val="16"/>
          <w:szCs w:val="16"/>
          <w:rtl/>
        </w:rPr>
        <w:fldChar w:fldCharType="end"/>
      </w:r>
    </w:p>
    <w:p w:rsidR="00983123" w:rsidRPr="00EB57E5" w:rsidRDefault="00983123" w:rsidP="00832AD7">
      <w:pPr>
        <w:spacing w:after="0" w:line="240" w:lineRule="auto"/>
        <w:jc w:val="right"/>
        <w:rPr>
          <w:rFonts w:ascii="FrankRuehl" w:eastAsia="Times New Roman" w:hAnsi="FrankRuehl" w:cs="FrankRuehl"/>
          <w:sz w:val="24"/>
          <w:szCs w:val="24"/>
          <w:rtl/>
        </w:rPr>
      </w:pPr>
      <w:r w:rsidRPr="00EB57E5">
        <w:rPr>
          <w:rFonts w:ascii="FrankRuehl" w:eastAsia="Times New Roman" w:hAnsi="FrankRuehl" w:cs="FrankRuehl"/>
          <w:sz w:val="16"/>
          <w:szCs w:val="16"/>
          <w:rtl/>
        </w:rPr>
        <w:fldChar w:fldCharType="begin"/>
      </w:r>
      <w:r w:rsidRPr="00EB57E5">
        <w:rPr>
          <w:rFonts w:ascii="FrankRuehl" w:eastAsia="Times New Roman" w:hAnsi="FrankRuehl" w:cs="FrankRuehl"/>
          <w:sz w:val="16"/>
          <w:szCs w:val="16"/>
          <w:rtl/>
        </w:rPr>
        <w:instrText xml:space="preserve"> </w:instrText>
      </w:r>
      <w:r w:rsidRPr="00EB57E5">
        <w:rPr>
          <w:rFonts w:ascii="FrankRuehl" w:eastAsia="Times New Roman" w:hAnsi="FrankRuehl" w:cs="FrankRuehl"/>
          <w:sz w:val="16"/>
          <w:szCs w:val="16"/>
        </w:rPr>
        <w:instrText>DOCPROPERTY  DocNumber  \* MERGEFORMAT</w:instrText>
      </w:r>
      <w:r w:rsidRPr="00EB57E5">
        <w:rPr>
          <w:rFonts w:ascii="FrankRuehl" w:eastAsia="Times New Roman" w:hAnsi="FrankRuehl" w:cs="FrankRuehl"/>
          <w:sz w:val="16"/>
          <w:szCs w:val="16"/>
          <w:rtl/>
        </w:rPr>
        <w:instrText xml:space="preserve"> </w:instrText>
      </w:r>
      <w:r w:rsidRPr="00EB57E5">
        <w:rPr>
          <w:rFonts w:ascii="FrankRuehl" w:eastAsia="Times New Roman" w:hAnsi="FrankRuehl" w:cs="FrankRuehl"/>
          <w:sz w:val="16"/>
          <w:szCs w:val="16"/>
          <w:rtl/>
        </w:rPr>
        <w:fldChar w:fldCharType="separate"/>
      </w:r>
      <w:r w:rsidRPr="00EB57E5">
        <w:rPr>
          <w:rFonts w:ascii="FrankRuehl" w:eastAsia="Times New Roman" w:hAnsi="FrankRuehl" w:cs="FrankRuehl"/>
          <w:sz w:val="16"/>
          <w:szCs w:val="16"/>
          <w:rtl/>
        </w:rPr>
        <w:t>4700-1039-2025-001154</w:t>
      </w:r>
      <w:r w:rsidRPr="00EB57E5">
        <w:rPr>
          <w:rFonts w:ascii="FrankRuehl" w:eastAsia="Times New Roman" w:hAnsi="FrankRuehl" w:cs="FrankRuehl"/>
          <w:sz w:val="16"/>
          <w:szCs w:val="16"/>
          <w:rtl/>
        </w:rPr>
        <w:fldChar w:fldCharType="end"/>
      </w:r>
    </w:p>
    <w:p w:rsidR="00515986" w:rsidRPr="00EB57E5" w:rsidRDefault="00515986" w:rsidP="00515986">
      <w:pPr>
        <w:spacing w:after="120" w:line="360" w:lineRule="auto"/>
        <w:jc w:val="center"/>
        <w:rPr>
          <w:rFonts w:ascii="FrankRuehl" w:hAnsi="FrankRuehl" w:cs="FrankRuehl"/>
          <w:b/>
          <w:bCs/>
          <w:color w:val="323E4F" w:themeColor="text2" w:themeShade="BF"/>
          <w:sz w:val="32"/>
          <w:szCs w:val="32"/>
          <w:u w:val="single"/>
          <w:rtl/>
        </w:rPr>
      </w:pPr>
    </w:p>
    <w:p w:rsidR="00515986" w:rsidRPr="00EB57E5" w:rsidRDefault="00515986" w:rsidP="000C4D75">
      <w:pPr>
        <w:tabs>
          <w:tab w:val="num" w:pos="1080"/>
        </w:tabs>
        <w:spacing w:after="0" w:line="276" w:lineRule="auto"/>
        <w:jc w:val="both"/>
        <w:rPr>
          <w:rFonts w:ascii="FrankRuehl" w:eastAsia="Times New Roman" w:hAnsi="FrankRuehl" w:cs="FrankRuehl"/>
          <w:b/>
          <w:bCs/>
          <w:sz w:val="24"/>
          <w:szCs w:val="24"/>
          <w:rtl/>
        </w:rPr>
      </w:pPr>
    </w:p>
    <w:p w:rsidR="005E0307" w:rsidRPr="00EB57E5" w:rsidRDefault="00E13F6E" w:rsidP="005E0307">
      <w:pPr>
        <w:spacing w:after="120" w:line="360" w:lineRule="auto"/>
        <w:jc w:val="center"/>
        <w:rPr>
          <w:rFonts w:ascii="FrankRuehl" w:hAnsi="FrankRuehl" w:cs="FrankRuehl"/>
          <w:b/>
          <w:bCs/>
          <w:color w:val="002060"/>
          <w:sz w:val="32"/>
          <w:szCs w:val="32"/>
          <w:u w:val="single"/>
          <w:rtl/>
        </w:rPr>
      </w:pPr>
      <w:r w:rsidRPr="00EB57E5">
        <w:rPr>
          <w:rFonts w:ascii="FrankRuehl" w:hAnsi="FrankRuehl" w:cs="FrankRuehl"/>
          <w:b/>
          <w:bCs/>
          <w:color w:val="002060"/>
          <w:sz w:val="32"/>
          <w:szCs w:val="32"/>
          <w:u w:val="single"/>
          <w:rtl/>
        </w:rPr>
        <w:t>תקציר גזר</w:t>
      </w:r>
      <w:r w:rsidR="005E0307" w:rsidRPr="00EB57E5">
        <w:rPr>
          <w:rFonts w:ascii="FrankRuehl" w:hAnsi="FrankRuehl" w:cs="FrankRuehl"/>
          <w:b/>
          <w:bCs/>
          <w:color w:val="002060"/>
          <w:sz w:val="32"/>
          <w:szCs w:val="32"/>
          <w:u w:val="single"/>
          <w:rtl/>
        </w:rPr>
        <w:t xml:space="preserve"> </w:t>
      </w:r>
      <w:r w:rsidRPr="00EB57E5">
        <w:rPr>
          <w:rFonts w:ascii="FrankRuehl" w:hAnsi="FrankRuehl" w:cs="FrankRuehl"/>
          <w:b/>
          <w:bCs/>
          <w:color w:val="002060"/>
          <w:sz w:val="32"/>
          <w:szCs w:val="32"/>
          <w:u w:val="single"/>
          <w:rtl/>
        </w:rPr>
        <w:t>דין</w:t>
      </w:r>
      <w:r w:rsidR="005E0307" w:rsidRPr="00EB57E5">
        <w:rPr>
          <w:rFonts w:ascii="FrankRuehl" w:hAnsi="FrankRuehl" w:cs="FrankRuehl"/>
          <w:b/>
          <w:bCs/>
          <w:color w:val="002060"/>
          <w:sz w:val="32"/>
          <w:szCs w:val="32"/>
          <w:u w:val="single"/>
          <w:rtl/>
        </w:rPr>
        <w:t xml:space="preserve"> </w:t>
      </w:r>
    </w:p>
    <w:p w:rsidR="00E13F6E" w:rsidRPr="00F4025A" w:rsidRDefault="005E0307" w:rsidP="005E0307">
      <w:pPr>
        <w:spacing w:after="120" w:line="360" w:lineRule="auto"/>
        <w:jc w:val="center"/>
        <w:rPr>
          <w:rFonts w:ascii="FrankRuehl" w:hAnsi="FrankRuehl" w:cs="FrankRuehl"/>
          <w:b/>
          <w:bCs/>
          <w:color w:val="002060"/>
          <w:sz w:val="32"/>
          <w:szCs w:val="32"/>
          <w:u w:val="single"/>
          <w:rtl/>
        </w:rPr>
      </w:pPr>
      <w:r w:rsidRPr="00F4025A">
        <w:rPr>
          <w:rFonts w:ascii="FrankRuehl" w:hAnsi="FrankRuehl" w:cs="FrankRuehl"/>
          <w:b/>
          <w:bCs/>
          <w:color w:val="002060"/>
          <w:sz w:val="32"/>
          <w:szCs w:val="32"/>
          <w:u w:val="single"/>
          <w:rtl/>
        </w:rPr>
        <w:t>תפ"ח 33269-04-22 – מדינת ישראל נ' וסים אסעיד</w:t>
      </w:r>
    </w:p>
    <w:p w:rsidR="00E13F6E" w:rsidRPr="00EB57E5" w:rsidRDefault="005E0307" w:rsidP="005E0307">
      <w:pPr>
        <w:spacing w:after="120"/>
        <w:jc w:val="center"/>
        <w:rPr>
          <w:rFonts w:ascii="FrankRuehl" w:hAnsi="FrankRuehl" w:cs="FrankRuehl"/>
          <w:b/>
          <w:bCs/>
          <w:color w:val="002060"/>
          <w:sz w:val="32"/>
          <w:szCs w:val="32"/>
          <w:rtl/>
        </w:rPr>
      </w:pPr>
      <w:r w:rsidRPr="00EB57E5">
        <w:rPr>
          <w:rFonts w:ascii="FrankRuehl" w:hAnsi="FrankRuehl" w:cs="FrankRuehl"/>
          <w:b/>
          <w:bCs/>
          <w:color w:val="002060"/>
          <w:sz w:val="32"/>
          <w:szCs w:val="32"/>
          <w:rtl/>
        </w:rPr>
        <w:t xml:space="preserve">הרכב שופטים אב"ד סגן הנשיא השופט ארנון דראל, השופט אלי אברבנאל והשופטת חיה זנדברג </w:t>
      </w:r>
    </w:p>
    <w:p w:rsidR="00E13F6E" w:rsidRPr="00EB57E5" w:rsidRDefault="00E13F6E" w:rsidP="00E13F6E">
      <w:pPr>
        <w:spacing w:after="120" w:line="360" w:lineRule="auto"/>
        <w:jc w:val="both"/>
        <w:rPr>
          <w:rFonts w:ascii="FrankRuehl" w:hAnsi="FrankRuehl" w:cs="FrankRuehl"/>
          <w:color w:val="323E4F" w:themeColor="text2" w:themeShade="BF"/>
          <w:sz w:val="26"/>
          <w:szCs w:val="26"/>
          <w:rtl/>
        </w:rPr>
      </w:pPr>
    </w:p>
    <w:p w:rsidR="00274476" w:rsidRDefault="00274476" w:rsidP="00274476">
      <w:pPr>
        <w:spacing w:after="120" w:line="360" w:lineRule="auto"/>
        <w:jc w:val="both"/>
        <w:rPr>
          <w:rFonts w:ascii="FrankRuehl" w:hAnsi="FrankRuehl" w:cs="FrankRuehl"/>
          <w:sz w:val="26"/>
          <w:szCs w:val="26"/>
          <w:rtl/>
        </w:rPr>
      </w:pPr>
      <w:r w:rsidRPr="00EB57E5">
        <w:rPr>
          <w:rFonts w:ascii="FrankRuehl" w:hAnsi="FrankRuehl" w:cs="FrankRuehl"/>
          <w:sz w:val="26"/>
          <w:szCs w:val="26"/>
          <w:rtl/>
        </w:rPr>
        <w:t>בית המשפט המחוזי בירושלים (סגן הנשיא ארנון דראל, השופט אלי אברבנאל והשופטת חיה זנדברג) דן היום את וסים אסעיד לשלושה מאסרי עולם ול-40 שנות מאסר</w:t>
      </w:r>
      <w:r>
        <w:rPr>
          <w:rFonts w:ascii="FrankRuehl" w:hAnsi="FrankRuehl" w:cs="FrankRuehl" w:hint="cs"/>
          <w:sz w:val="26"/>
          <w:szCs w:val="26"/>
          <w:rtl/>
        </w:rPr>
        <w:t xml:space="preserve"> בגין רצח בני הזוג תמר ויהודה כדורי ז"ל,  רצח איוון טירוונסקי ז"ל וניסיונות רצח נוספים.  </w:t>
      </w:r>
    </w:p>
    <w:p w:rsidR="00274476" w:rsidRDefault="00274476" w:rsidP="00274476">
      <w:pPr>
        <w:spacing w:after="120" w:line="360" w:lineRule="auto"/>
        <w:jc w:val="both"/>
        <w:rPr>
          <w:rFonts w:ascii="FrankRuehl" w:hAnsi="FrankRuehl" w:cs="FrankRuehl"/>
          <w:sz w:val="26"/>
          <w:szCs w:val="26"/>
          <w:rtl/>
        </w:rPr>
      </w:pPr>
      <w:r w:rsidRPr="00EB57E5">
        <w:rPr>
          <w:rFonts w:ascii="FrankRuehl" w:hAnsi="FrankRuehl" w:cs="FrankRuehl"/>
          <w:sz w:val="26"/>
          <w:szCs w:val="26"/>
          <w:rtl/>
        </w:rPr>
        <w:t xml:space="preserve">הנאשם </w:t>
      </w:r>
      <w:r>
        <w:rPr>
          <w:rFonts w:ascii="FrankRuehl" w:hAnsi="FrankRuehl" w:cs="FrankRuehl" w:hint="cs"/>
          <w:sz w:val="26"/>
          <w:szCs w:val="26"/>
          <w:rtl/>
        </w:rPr>
        <w:t xml:space="preserve">הורשע </w:t>
      </w:r>
      <w:r w:rsidRPr="00EB57E5">
        <w:rPr>
          <w:rFonts w:ascii="FrankRuehl" w:hAnsi="FrankRuehl" w:cs="FrankRuehl"/>
          <w:sz w:val="26"/>
          <w:szCs w:val="26"/>
          <w:rtl/>
        </w:rPr>
        <w:t xml:space="preserve">בשתי עבירות של </w:t>
      </w:r>
      <w:r w:rsidRPr="00EB57E5">
        <w:rPr>
          <w:rFonts w:ascii="FrankRuehl" w:hAnsi="FrankRuehl" w:cs="FrankRuehl"/>
          <w:b/>
          <w:bCs/>
          <w:sz w:val="26"/>
          <w:szCs w:val="26"/>
          <w:rtl/>
        </w:rPr>
        <w:t>רצח בכוונה תחילה</w:t>
      </w:r>
      <w:r w:rsidRPr="00EB57E5">
        <w:rPr>
          <w:rFonts w:ascii="FrankRuehl" w:hAnsi="FrankRuehl" w:cs="FrankRuehl"/>
          <w:sz w:val="26"/>
          <w:szCs w:val="26"/>
          <w:rtl/>
        </w:rPr>
        <w:t xml:space="preserve">; בעבירה אחת של </w:t>
      </w:r>
      <w:r w:rsidRPr="00EB57E5">
        <w:rPr>
          <w:rFonts w:ascii="FrankRuehl" w:hAnsi="FrankRuehl" w:cs="FrankRuehl"/>
          <w:b/>
          <w:bCs/>
          <w:sz w:val="26"/>
          <w:szCs w:val="26"/>
          <w:rtl/>
        </w:rPr>
        <w:t xml:space="preserve">רצח בנסיבות מחמירות, </w:t>
      </w:r>
      <w:r w:rsidRPr="00EB57E5">
        <w:rPr>
          <w:rFonts w:ascii="FrankRuehl" w:hAnsi="FrankRuehl" w:cs="FrankRuehl"/>
          <w:sz w:val="26"/>
          <w:szCs w:val="26"/>
          <w:rtl/>
        </w:rPr>
        <w:t xml:space="preserve">בשתי עבירות של </w:t>
      </w:r>
      <w:r w:rsidRPr="00EB57E5">
        <w:rPr>
          <w:rFonts w:ascii="FrankRuehl" w:hAnsi="FrankRuehl" w:cs="FrankRuehl"/>
          <w:b/>
          <w:bCs/>
          <w:sz w:val="26"/>
          <w:szCs w:val="26"/>
          <w:rtl/>
        </w:rPr>
        <w:t>מעשה טרור של ניסיון רצח</w:t>
      </w:r>
      <w:r w:rsidRPr="00EB57E5">
        <w:rPr>
          <w:rFonts w:ascii="FrankRuehl" w:hAnsi="FrankRuehl" w:cs="FrankRuehl"/>
          <w:sz w:val="26"/>
          <w:szCs w:val="26"/>
          <w:rtl/>
        </w:rPr>
        <w:t xml:space="preserve"> ובעבירות נוספות, וזאת במסגרת חברותו בארגון המדינה האסלאמית, דאע"ש.</w:t>
      </w:r>
    </w:p>
    <w:p w:rsidR="00274476" w:rsidRDefault="00274476" w:rsidP="00274476">
      <w:pPr>
        <w:spacing w:after="120" w:line="360" w:lineRule="auto"/>
        <w:jc w:val="both"/>
        <w:rPr>
          <w:rFonts w:ascii="FrankRuehl" w:hAnsi="FrankRuehl" w:cs="FrankRuehl"/>
          <w:sz w:val="26"/>
          <w:szCs w:val="26"/>
          <w:rtl/>
        </w:rPr>
      </w:pPr>
      <w:r w:rsidRPr="00EB57E5">
        <w:rPr>
          <w:rFonts w:ascii="FrankRuehl" w:hAnsi="FrankRuehl" w:cs="FrankRuehl"/>
          <w:sz w:val="26"/>
          <w:szCs w:val="26"/>
          <w:rtl/>
        </w:rPr>
        <w:t xml:space="preserve">נקבע שעונשי מאסר העולם והמאסר למשך 40 שנה ירוצו במצטבר, וכן נקבע כי מעשי הרצח שביצע הנאשם הם </w:t>
      </w:r>
      <w:r w:rsidRPr="00AF5EA6">
        <w:rPr>
          <w:rFonts w:ascii="FrankRuehl" w:hAnsi="FrankRuehl" w:cs="FrankRuehl"/>
          <w:b/>
          <w:bCs/>
          <w:sz w:val="26"/>
          <w:szCs w:val="26"/>
          <w:rtl/>
        </w:rPr>
        <w:t>חריגים בחומרתם</w:t>
      </w:r>
      <w:r>
        <w:rPr>
          <w:rFonts w:ascii="FrankRuehl" w:hAnsi="FrankRuehl" w:cs="FrankRuehl" w:hint="cs"/>
          <w:sz w:val="26"/>
          <w:szCs w:val="26"/>
          <w:rtl/>
        </w:rPr>
        <w:t>, קביעה ש</w:t>
      </w:r>
      <w:r w:rsidRPr="00EB57E5">
        <w:rPr>
          <w:rFonts w:ascii="FrankRuehl" w:hAnsi="FrankRuehl" w:cs="FrankRuehl"/>
          <w:sz w:val="26"/>
          <w:szCs w:val="26"/>
          <w:rtl/>
        </w:rPr>
        <w:t>משמעות</w:t>
      </w:r>
      <w:r>
        <w:rPr>
          <w:rFonts w:ascii="FrankRuehl" w:hAnsi="FrankRuehl" w:cs="FrankRuehl" w:hint="cs"/>
          <w:sz w:val="26"/>
          <w:szCs w:val="26"/>
          <w:rtl/>
        </w:rPr>
        <w:t>ה</w:t>
      </w:r>
      <w:r w:rsidRPr="00EB57E5">
        <w:rPr>
          <w:rFonts w:ascii="FrankRuehl" w:hAnsi="FrankRuehl" w:cs="FrankRuehl"/>
          <w:sz w:val="26"/>
          <w:szCs w:val="26"/>
          <w:rtl/>
        </w:rPr>
        <w:t xml:space="preserve"> היא כי לא יוכל להשתחרר ממאסר מטעמים של ניהול יחסי החוץ של המדינה וביטחונה (לפי </w:t>
      </w:r>
      <w:r w:rsidRPr="00EB57E5">
        <w:rPr>
          <w:rFonts w:ascii="FrankRuehl" w:hAnsi="FrankRuehl" w:cs="FrankRuehl"/>
          <w:sz w:val="26"/>
          <w:szCs w:val="26"/>
          <w:rtl/>
        </w:rPr>
        <w:lastRenderedPageBreak/>
        <w:t>סעיף 8ב(א1) לחוק הממשלה</w:t>
      </w:r>
      <w:r>
        <w:rPr>
          <w:rFonts w:ascii="FrankRuehl" w:hAnsi="FrankRuehl" w:cs="FrankRuehl" w:hint="cs"/>
          <w:sz w:val="26"/>
          <w:szCs w:val="26"/>
          <w:rtl/>
        </w:rPr>
        <w:t xml:space="preserve">. </w:t>
      </w:r>
      <w:r w:rsidRPr="00EB57E5">
        <w:rPr>
          <w:rFonts w:ascii="FrankRuehl" w:hAnsi="FrankRuehl" w:cs="FrankRuehl"/>
          <w:sz w:val="26"/>
          <w:szCs w:val="26"/>
          <w:rtl/>
        </w:rPr>
        <w:t>הנאשם חויב בתשלום הפיצוי המקסימאלי לנפגעי העבירה בגין מעשי הרצח</w:t>
      </w:r>
      <w:r>
        <w:rPr>
          <w:rFonts w:ascii="FrankRuehl" w:hAnsi="FrankRuehl" w:cs="FrankRuehl" w:hint="cs"/>
          <w:sz w:val="26"/>
          <w:szCs w:val="26"/>
          <w:rtl/>
        </w:rPr>
        <w:t>,</w:t>
      </w:r>
      <w:r w:rsidRPr="00EB57E5">
        <w:rPr>
          <w:rFonts w:ascii="FrankRuehl" w:hAnsi="FrankRuehl" w:cs="FrankRuehl"/>
          <w:sz w:val="26"/>
          <w:szCs w:val="26"/>
          <w:rtl/>
        </w:rPr>
        <w:t xml:space="preserve"> ובפיצוי נוסף ל</w:t>
      </w:r>
      <w:r>
        <w:rPr>
          <w:rFonts w:ascii="FrankRuehl" w:hAnsi="FrankRuehl" w:cs="FrankRuehl" w:hint="cs"/>
          <w:sz w:val="26"/>
          <w:szCs w:val="26"/>
          <w:rtl/>
        </w:rPr>
        <w:t>קרבנות ניסיון הרצח.</w:t>
      </w:r>
    </w:p>
    <w:p w:rsidR="00274476" w:rsidRPr="00EB57E5" w:rsidRDefault="00274476" w:rsidP="00F4025A">
      <w:pPr>
        <w:spacing w:after="120" w:line="360" w:lineRule="auto"/>
        <w:jc w:val="both"/>
        <w:rPr>
          <w:rFonts w:ascii="FrankRuehl" w:hAnsi="FrankRuehl" w:cs="FrankRuehl"/>
          <w:sz w:val="26"/>
          <w:szCs w:val="26"/>
          <w:rtl/>
        </w:rPr>
      </w:pPr>
      <w:r>
        <w:rPr>
          <w:rFonts w:ascii="FrankRuehl" w:hAnsi="FrankRuehl" w:cs="FrankRuehl" w:hint="cs"/>
          <w:sz w:val="26"/>
          <w:szCs w:val="26"/>
          <w:rtl/>
        </w:rPr>
        <w:t xml:space="preserve">גזר הדין </w:t>
      </w:r>
      <w:r w:rsidRPr="00EB57E5">
        <w:rPr>
          <w:rFonts w:ascii="FrankRuehl" w:hAnsi="FrankRuehl" w:cs="FrankRuehl"/>
          <w:sz w:val="26"/>
          <w:szCs w:val="26"/>
          <w:rtl/>
        </w:rPr>
        <w:t>מתייחס לשלושה אירועים:</w:t>
      </w:r>
    </w:p>
    <w:p w:rsidR="00274476" w:rsidRPr="00EB57E5" w:rsidRDefault="00274476" w:rsidP="00274476">
      <w:pPr>
        <w:pStyle w:val="a9"/>
        <w:spacing w:after="120" w:line="360" w:lineRule="auto"/>
        <w:ind w:left="0"/>
        <w:jc w:val="both"/>
        <w:rPr>
          <w:rFonts w:ascii="FrankRuehl" w:hAnsi="FrankRuehl" w:cs="FrankRuehl"/>
          <w:sz w:val="26"/>
          <w:szCs w:val="26"/>
          <w:rtl/>
        </w:rPr>
      </w:pPr>
      <w:r w:rsidRPr="00EB57E5">
        <w:rPr>
          <w:rFonts w:ascii="FrankRuehl" w:hAnsi="FrankRuehl" w:cs="FrankRuehl"/>
          <w:sz w:val="26"/>
          <w:szCs w:val="26"/>
          <w:u w:val="single"/>
          <w:rtl/>
        </w:rPr>
        <w:t>האירוע הראשון</w:t>
      </w:r>
      <w:r w:rsidRPr="00EB57E5">
        <w:rPr>
          <w:rFonts w:ascii="FrankRuehl" w:hAnsi="FrankRuehl" w:cs="FrankRuehl"/>
          <w:sz w:val="26"/>
          <w:szCs w:val="26"/>
          <w:rtl/>
        </w:rPr>
        <w:t xml:space="preserve"> התרחש ביום 9.1.2019 בשעות הבוקר. הנאשם ניסה לרצוח את הנערה ה' ב' בדקירת סכין בצווארה ופצע אותה. </w:t>
      </w:r>
    </w:p>
    <w:p w:rsidR="00274476" w:rsidRDefault="00274476" w:rsidP="00274476">
      <w:pPr>
        <w:spacing w:after="120" w:line="360" w:lineRule="auto"/>
        <w:jc w:val="both"/>
        <w:rPr>
          <w:rFonts w:ascii="FrankRuehl" w:hAnsi="FrankRuehl" w:cs="FrankRuehl"/>
          <w:sz w:val="26"/>
          <w:szCs w:val="26"/>
          <w:rtl/>
        </w:rPr>
      </w:pPr>
      <w:r w:rsidRPr="00EB57E5">
        <w:rPr>
          <w:rFonts w:ascii="FrankRuehl" w:hAnsi="FrankRuehl" w:cs="FrankRuehl"/>
          <w:sz w:val="26"/>
          <w:szCs w:val="26"/>
          <w:u w:val="single"/>
          <w:rtl/>
        </w:rPr>
        <w:t>האירוע השני</w:t>
      </w:r>
      <w:r w:rsidRPr="00EB57E5">
        <w:rPr>
          <w:rFonts w:ascii="FrankRuehl" w:hAnsi="FrankRuehl" w:cs="FrankRuehl"/>
          <w:sz w:val="26"/>
          <w:szCs w:val="26"/>
          <w:rtl/>
        </w:rPr>
        <w:t xml:space="preserve"> התרחש בלילה שבין 10.2.2019 ל-11.2.2019. הנאשם חיפש קורבן יהודי לפגוע בו. סמוך לשעה 21:30 הבחין הנאשם ביהודה כדורי ז"ל המגיע ברכבו לרחבת החניה שלפני הכניסה לבניין המגורים בירושלים בו התגוררו המנוח ורעייתו תמר כדורי ז"ל. המנוח יצא מהרכב כדי לפרוק מצרכים, הנאשם עקב אחריו נכנס לדירה ושם דקר את תמר כדורי ז"ל מספר פעמים. לאחר מכן הוא המתין עד שמר כדורי המנוח יכנס לחדר שבו הסתתר</w:t>
      </w:r>
      <w:r>
        <w:rPr>
          <w:rFonts w:ascii="FrankRuehl" w:hAnsi="FrankRuehl" w:cs="FrankRuehl" w:hint="cs"/>
          <w:sz w:val="26"/>
          <w:szCs w:val="26"/>
          <w:rtl/>
        </w:rPr>
        <w:t>,</w:t>
      </w:r>
      <w:r w:rsidRPr="00EB57E5">
        <w:rPr>
          <w:rFonts w:ascii="FrankRuehl" w:hAnsi="FrankRuehl" w:cs="FrankRuehl"/>
          <w:sz w:val="26"/>
          <w:szCs w:val="26"/>
          <w:rtl/>
        </w:rPr>
        <w:t xml:space="preserve"> הסתער עליו ודקר אותו בסכין. </w:t>
      </w:r>
    </w:p>
    <w:p w:rsidR="00274476" w:rsidRPr="00EB57E5" w:rsidRDefault="00274476" w:rsidP="00274476">
      <w:pPr>
        <w:pStyle w:val="a9"/>
        <w:spacing w:after="120" w:line="360" w:lineRule="auto"/>
        <w:ind w:left="0"/>
        <w:jc w:val="both"/>
        <w:rPr>
          <w:rFonts w:ascii="FrankRuehl" w:hAnsi="FrankRuehl" w:cs="FrankRuehl"/>
          <w:sz w:val="26"/>
          <w:szCs w:val="26"/>
          <w:rtl/>
        </w:rPr>
      </w:pPr>
      <w:r w:rsidRPr="00EB57E5">
        <w:rPr>
          <w:rFonts w:ascii="FrankRuehl" w:hAnsi="FrankRuehl" w:cs="FrankRuehl"/>
          <w:sz w:val="26"/>
          <w:szCs w:val="26"/>
          <w:u w:val="single"/>
          <w:rtl/>
        </w:rPr>
        <w:t>האירוע השלישי</w:t>
      </w:r>
      <w:r w:rsidRPr="00EB57E5">
        <w:rPr>
          <w:rFonts w:ascii="FrankRuehl" w:hAnsi="FrankRuehl" w:cs="FrankRuehl"/>
          <w:sz w:val="26"/>
          <w:szCs w:val="26"/>
          <w:rtl/>
        </w:rPr>
        <w:t xml:space="preserve"> התרחש שלוש שנים לאחר מכן. הנאשם נכנס לישראל ביום 20.3.2022 במטרה להרוג יהודים. הוא הגיע לשכונת ארמון הנציב, </w:t>
      </w:r>
      <w:r>
        <w:rPr>
          <w:rFonts w:ascii="FrankRuehl" w:hAnsi="FrankRuehl" w:cs="FrankRuehl" w:hint="cs"/>
          <w:sz w:val="26"/>
          <w:szCs w:val="26"/>
          <w:rtl/>
        </w:rPr>
        <w:t>ו</w:t>
      </w:r>
      <w:r w:rsidRPr="00EB57E5">
        <w:rPr>
          <w:rFonts w:ascii="FrankRuehl" w:hAnsi="FrankRuehl" w:cs="FrankRuehl"/>
          <w:sz w:val="26"/>
          <w:szCs w:val="26"/>
          <w:rtl/>
        </w:rPr>
        <w:t xml:space="preserve">שוטט ברחובות השכונה בכוונה לאתר קורבן יהודי ולרצוח אותו. סמוך לשעה 01:20 ביום 21.3.2022, נכנס הנאשם לבניין מגורים בשכונה, עלה לקומה הראשונה, נכנס לדירה שדלתה הייתה פתוחה ודקר בסכין את איוון טירוונסקי ז"ל, אזרח מולדובה העובד בישראל, שישן במיטתו. לאחר מכן דקר אדם אחר שהיה בדירה ופצע אותו. </w:t>
      </w:r>
    </w:p>
    <w:p w:rsidR="00274476" w:rsidRPr="00EB57E5" w:rsidRDefault="00274476" w:rsidP="00274476">
      <w:pPr>
        <w:pStyle w:val="a9"/>
        <w:spacing w:after="120" w:line="360" w:lineRule="auto"/>
        <w:ind w:left="0"/>
        <w:jc w:val="both"/>
        <w:rPr>
          <w:rFonts w:ascii="FrankRuehl" w:hAnsi="FrankRuehl" w:cs="FrankRuehl"/>
          <w:sz w:val="26"/>
          <w:szCs w:val="26"/>
          <w:rtl/>
        </w:rPr>
      </w:pPr>
      <w:r w:rsidRPr="00EB57E5">
        <w:rPr>
          <w:rFonts w:ascii="FrankRuehl" w:hAnsi="FrankRuehl" w:cs="FrankRuehl"/>
          <w:sz w:val="26"/>
          <w:szCs w:val="26"/>
          <w:rtl/>
        </w:rPr>
        <w:t>בגזר הדין</w:t>
      </w:r>
      <w:r>
        <w:rPr>
          <w:rFonts w:ascii="FrankRuehl" w:hAnsi="FrankRuehl" w:cs="FrankRuehl" w:hint="cs"/>
          <w:sz w:val="26"/>
          <w:szCs w:val="26"/>
          <w:rtl/>
        </w:rPr>
        <w:t>,</w:t>
      </w:r>
      <w:r w:rsidRPr="00EB57E5">
        <w:rPr>
          <w:rFonts w:ascii="FrankRuehl" w:hAnsi="FrankRuehl" w:cs="FrankRuehl"/>
          <w:sz w:val="26"/>
          <w:szCs w:val="26"/>
          <w:rtl/>
        </w:rPr>
        <w:t xml:space="preserve"> </w:t>
      </w:r>
      <w:r>
        <w:rPr>
          <w:rFonts w:ascii="FrankRuehl" w:hAnsi="FrankRuehl" w:cs="FrankRuehl" w:hint="cs"/>
          <w:sz w:val="26"/>
          <w:szCs w:val="26"/>
          <w:rtl/>
        </w:rPr>
        <w:t>ה</w:t>
      </w:r>
      <w:r w:rsidRPr="00EB57E5">
        <w:rPr>
          <w:rFonts w:ascii="FrankRuehl" w:hAnsi="FrankRuehl" w:cs="FrankRuehl"/>
          <w:sz w:val="26"/>
          <w:szCs w:val="26"/>
          <w:rtl/>
        </w:rPr>
        <w:t>נפתח ב</w:t>
      </w:r>
      <w:r>
        <w:rPr>
          <w:rFonts w:ascii="FrankRuehl" w:hAnsi="FrankRuehl" w:cs="FrankRuehl" w:hint="cs"/>
          <w:sz w:val="26"/>
          <w:szCs w:val="26"/>
          <w:rtl/>
        </w:rPr>
        <w:t>ציטוט מ</w:t>
      </w:r>
      <w:r w:rsidRPr="00EB57E5">
        <w:rPr>
          <w:rFonts w:ascii="FrankRuehl" w:hAnsi="FrankRuehl" w:cs="FrankRuehl"/>
          <w:sz w:val="26"/>
          <w:szCs w:val="26"/>
          <w:rtl/>
        </w:rPr>
        <w:t>שירו של חיים נחמן ביאליק 'על השחיטה'</w:t>
      </w:r>
      <w:r>
        <w:rPr>
          <w:rFonts w:ascii="FrankRuehl" w:hAnsi="FrankRuehl" w:cs="FrankRuehl" w:hint="cs"/>
          <w:sz w:val="26"/>
          <w:szCs w:val="26"/>
          <w:rtl/>
        </w:rPr>
        <w:t>,</w:t>
      </w:r>
      <w:r w:rsidRPr="00EB57E5">
        <w:rPr>
          <w:rFonts w:ascii="FrankRuehl" w:hAnsi="FrankRuehl" w:cs="FrankRuehl"/>
          <w:sz w:val="26"/>
          <w:szCs w:val="26"/>
          <w:rtl/>
        </w:rPr>
        <w:t xml:space="preserve"> התייחס הרכב השופטים לכך שהנאשם שחט באמצעות סכין שלושה בני אדם, וניסה לשחוט שניים נוספים אך ורק בשל יהדותם</w:t>
      </w:r>
      <w:r>
        <w:rPr>
          <w:rFonts w:ascii="FrankRuehl" w:hAnsi="FrankRuehl" w:cs="FrankRuehl" w:hint="cs"/>
          <w:sz w:val="26"/>
          <w:szCs w:val="26"/>
          <w:rtl/>
        </w:rPr>
        <w:t>,</w:t>
      </w:r>
      <w:r w:rsidRPr="00EB57E5">
        <w:rPr>
          <w:rFonts w:ascii="FrankRuehl" w:hAnsi="FrankRuehl" w:cs="FrankRuehl"/>
          <w:sz w:val="26"/>
          <w:szCs w:val="26"/>
          <w:rtl/>
        </w:rPr>
        <w:t xml:space="preserve"> או בשל כך שחשב שקורבנותיו יהודים. </w:t>
      </w:r>
    </w:p>
    <w:p w:rsidR="00274476" w:rsidRPr="00EB57E5" w:rsidRDefault="00274476" w:rsidP="00274476">
      <w:pPr>
        <w:pStyle w:val="a9"/>
        <w:spacing w:after="120" w:line="360" w:lineRule="auto"/>
        <w:ind w:left="0"/>
        <w:jc w:val="both"/>
        <w:rPr>
          <w:rFonts w:ascii="FrankRuehl" w:hAnsi="FrankRuehl" w:cs="FrankRuehl"/>
          <w:sz w:val="26"/>
          <w:szCs w:val="26"/>
          <w:rtl/>
        </w:rPr>
      </w:pPr>
      <w:r w:rsidRPr="00EB57E5">
        <w:rPr>
          <w:rFonts w:ascii="FrankRuehl" w:hAnsi="FrankRuehl" w:cs="FrankRuehl"/>
          <w:sz w:val="26"/>
          <w:szCs w:val="26"/>
          <w:rtl/>
        </w:rPr>
        <w:t>גזר הדין מסתיים בפנייה</w:t>
      </w:r>
      <w:r>
        <w:rPr>
          <w:rFonts w:ascii="FrankRuehl" w:hAnsi="FrankRuehl" w:cs="FrankRuehl" w:hint="cs"/>
          <w:sz w:val="26"/>
          <w:szCs w:val="26"/>
          <w:rtl/>
        </w:rPr>
        <w:t xml:space="preserve"> של בית המשפט</w:t>
      </w:r>
      <w:r w:rsidRPr="00EB57E5">
        <w:rPr>
          <w:rFonts w:ascii="FrankRuehl" w:hAnsi="FrankRuehl" w:cs="FrankRuehl"/>
          <w:sz w:val="26"/>
          <w:szCs w:val="26"/>
          <w:rtl/>
        </w:rPr>
        <w:t xml:space="preserve"> לנפגעים ולבני המשפחה</w:t>
      </w:r>
      <w:r>
        <w:rPr>
          <w:rFonts w:ascii="FrankRuehl" w:hAnsi="FrankRuehl" w:cs="FrankRuehl" w:hint="cs"/>
          <w:sz w:val="26"/>
          <w:szCs w:val="26"/>
          <w:rtl/>
        </w:rPr>
        <w:t>,</w:t>
      </w:r>
      <w:r w:rsidRPr="00EB57E5">
        <w:rPr>
          <w:rFonts w:ascii="FrankRuehl" w:hAnsi="FrankRuehl" w:cs="FrankRuehl"/>
          <w:sz w:val="26"/>
          <w:szCs w:val="26"/>
          <w:rtl/>
        </w:rPr>
        <w:t xml:space="preserve"> </w:t>
      </w:r>
      <w:r>
        <w:rPr>
          <w:rFonts w:ascii="FrankRuehl" w:hAnsi="FrankRuehl" w:cs="FrankRuehl" w:hint="cs"/>
          <w:sz w:val="26"/>
          <w:szCs w:val="26"/>
          <w:rtl/>
        </w:rPr>
        <w:t>ו</w:t>
      </w:r>
      <w:r w:rsidRPr="00EB57E5">
        <w:rPr>
          <w:rFonts w:ascii="FrankRuehl" w:hAnsi="FrankRuehl" w:cs="FrankRuehl"/>
          <w:sz w:val="26"/>
          <w:szCs w:val="26"/>
          <w:rtl/>
        </w:rPr>
        <w:t>בהבעת תקווה שלצד הכאב העצום שאינו נעלם לעולם, הנפגעים ובני המשפחה של הקורבנות ימצאו את הדרכים לחיים מלאים וטובים.</w:t>
      </w:r>
    </w:p>
    <w:p w:rsidR="00E13F6E" w:rsidRPr="00EB57E5" w:rsidRDefault="00E13F6E" w:rsidP="00E13F6E">
      <w:pPr>
        <w:spacing w:after="120" w:line="360" w:lineRule="auto"/>
        <w:jc w:val="both"/>
        <w:rPr>
          <w:rFonts w:ascii="FrankRuehl" w:hAnsi="FrankRuehl" w:cs="FrankRuehl"/>
          <w:color w:val="323E4F" w:themeColor="text2" w:themeShade="BF"/>
          <w:sz w:val="26"/>
          <w:szCs w:val="26"/>
          <w:rtl/>
        </w:rPr>
      </w:pPr>
    </w:p>
    <w:p w:rsidR="00E13F6E" w:rsidRPr="00EB57E5" w:rsidRDefault="00E13F6E" w:rsidP="00E13F6E">
      <w:pPr>
        <w:spacing w:after="120" w:line="360" w:lineRule="auto"/>
        <w:jc w:val="center"/>
        <w:rPr>
          <w:rFonts w:ascii="FrankRuehl" w:hAnsi="FrankRuehl" w:cs="FrankRuehl"/>
          <w:b/>
          <w:bCs/>
          <w:color w:val="002060"/>
          <w:sz w:val="26"/>
          <w:szCs w:val="26"/>
        </w:rPr>
      </w:pPr>
      <w:r w:rsidRPr="00EB57E5">
        <w:rPr>
          <w:rFonts w:ascii="FrankRuehl" w:hAnsi="FrankRuehl" w:cs="FrankRuehl"/>
          <w:b/>
          <w:bCs/>
          <w:color w:val="002060"/>
          <w:sz w:val="26"/>
          <w:szCs w:val="26"/>
          <w:rtl/>
        </w:rPr>
        <w:t>*** הנוסח המחייב הוא</w:t>
      </w:r>
      <w:r w:rsidR="005E0307" w:rsidRPr="00EB57E5">
        <w:rPr>
          <w:rFonts w:ascii="FrankRuehl" w:hAnsi="FrankRuehl" w:cs="FrankRuehl"/>
          <w:b/>
          <w:bCs/>
          <w:color w:val="002060"/>
          <w:sz w:val="26"/>
          <w:szCs w:val="26"/>
          <w:rtl/>
        </w:rPr>
        <w:t xml:space="preserve"> זה</w:t>
      </w:r>
      <w:r w:rsidRPr="00EB57E5">
        <w:rPr>
          <w:rFonts w:ascii="FrankRuehl" w:hAnsi="FrankRuehl" w:cs="FrankRuehl"/>
          <w:b/>
          <w:bCs/>
          <w:color w:val="002060"/>
          <w:sz w:val="26"/>
          <w:szCs w:val="26"/>
          <w:rtl/>
        </w:rPr>
        <w:t xml:space="preserve"> של פסק הדין המלא ***</w:t>
      </w:r>
    </w:p>
    <w:p w:rsidR="00515986" w:rsidRPr="00EB57E5" w:rsidRDefault="00515986" w:rsidP="000C4D75">
      <w:pPr>
        <w:tabs>
          <w:tab w:val="num" w:pos="1080"/>
        </w:tabs>
        <w:spacing w:after="0" w:line="276" w:lineRule="auto"/>
        <w:jc w:val="both"/>
        <w:rPr>
          <w:rFonts w:ascii="FrankRuehl" w:eastAsia="Times New Roman" w:hAnsi="FrankRuehl" w:cs="FrankRuehl"/>
          <w:b/>
          <w:bCs/>
          <w:sz w:val="24"/>
          <w:szCs w:val="24"/>
          <w:rtl/>
        </w:rPr>
      </w:pPr>
    </w:p>
    <w:p w:rsidR="00515986" w:rsidRPr="00EB57E5" w:rsidRDefault="00515986" w:rsidP="000C4D75">
      <w:pPr>
        <w:tabs>
          <w:tab w:val="num" w:pos="1080"/>
        </w:tabs>
        <w:spacing w:after="0" w:line="276" w:lineRule="auto"/>
        <w:jc w:val="both"/>
        <w:rPr>
          <w:rFonts w:ascii="FrankRuehl" w:eastAsia="Times New Roman" w:hAnsi="FrankRuehl" w:cs="FrankRuehl"/>
          <w:b/>
          <w:bCs/>
          <w:sz w:val="24"/>
          <w:szCs w:val="24"/>
          <w:rtl/>
        </w:rPr>
      </w:pPr>
    </w:p>
    <w:p w:rsidR="002453CF" w:rsidRPr="00EB57E5" w:rsidRDefault="002453CF" w:rsidP="00F4025A">
      <w:pPr>
        <w:spacing w:before="100" w:beforeAutospacing="1" w:after="100" w:afterAutospacing="1" w:line="240" w:lineRule="auto"/>
        <w:ind w:left="4320"/>
        <w:jc w:val="both"/>
        <w:rPr>
          <w:rFonts w:ascii="FrankRuehl" w:eastAsia="Times New Roman" w:hAnsi="FrankRuehl" w:cs="FrankRuehl"/>
          <w:b/>
          <w:bCs/>
          <w:color w:val="002060"/>
          <w:rtl/>
        </w:rPr>
      </w:pPr>
    </w:p>
    <w:sectPr w:rsidR="002453CF" w:rsidRPr="00EB57E5"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8F6" w:rsidRDefault="007C28F6" w:rsidP="00730CA1">
      <w:pPr>
        <w:spacing w:after="0" w:line="240" w:lineRule="auto"/>
      </w:pPr>
      <w:r>
        <w:separator/>
      </w:r>
    </w:p>
  </w:endnote>
  <w:endnote w:type="continuationSeparator" w:id="0">
    <w:p w:rsidR="007C28F6" w:rsidRDefault="007C28F6"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בית משפט העליון | דרך השופט מאיר שמגר 1 | קרית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8F6" w:rsidRDefault="007C28F6" w:rsidP="00730CA1">
      <w:pPr>
        <w:spacing w:after="0" w:line="240" w:lineRule="auto"/>
      </w:pPr>
      <w:r>
        <w:separator/>
      </w:r>
    </w:p>
  </w:footnote>
  <w:footnote w:type="continuationSeparator" w:id="0">
    <w:p w:rsidR="007C28F6" w:rsidRDefault="007C28F6"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14:anchorId="2FCD03EA" wp14:editId="671BF2DC">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74476"/>
    <w:rsid w:val="002C0E83"/>
    <w:rsid w:val="003921C3"/>
    <w:rsid w:val="003A639C"/>
    <w:rsid w:val="003C61AF"/>
    <w:rsid w:val="003E6E39"/>
    <w:rsid w:val="003E7EB7"/>
    <w:rsid w:val="003F5383"/>
    <w:rsid w:val="00426AA7"/>
    <w:rsid w:val="00515986"/>
    <w:rsid w:val="005253B2"/>
    <w:rsid w:val="00541C9E"/>
    <w:rsid w:val="00573ACE"/>
    <w:rsid w:val="005E0307"/>
    <w:rsid w:val="00631744"/>
    <w:rsid w:val="00690B6F"/>
    <w:rsid w:val="006B7B96"/>
    <w:rsid w:val="006C3B1F"/>
    <w:rsid w:val="006F1E1F"/>
    <w:rsid w:val="007007D7"/>
    <w:rsid w:val="00711675"/>
    <w:rsid w:val="00730CA1"/>
    <w:rsid w:val="007B7899"/>
    <w:rsid w:val="007C28F6"/>
    <w:rsid w:val="00832AD7"/>
    <w:rsid w:val="008C02E0"/>
    <w:rsid w:val="00983123"/>
    <w:rsid w:val="009E5C0E"/>
    <w:rsid w:val="009F2570"/>
    <w:rsid w:val="00A90C63"/>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D85CA2"/>
    <w:rsid w:val="00E13F6E"/>
    <w:rsid w:val="00E35DF3"/>
    <w:rsid w:val="00EA6DF3"/>
    <w:rsid w:val="00EB57E5"/>
    <w:rsid w:val="00EB6609"/>
    <w:rsid w:val="00F4025A"/>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paragraph" w:styleId="a9">
    <w:name w:val="List Paragraph"/>
    <w:basedOn w:val="a"/>
    <w:uiPriority w:val="34"/>
    <w:qFormat/>
    <w:rsid w:val="00EB57E5"/>
    <w:pPr>
      <w:ind w:left="720"/>
      <w:contextualSpacing/>
    </w:pPr>
  </w:style>
  <w:style w:type="character" w:styleId="aa">
    <w:name w:val="annotation reference"/>
    <w:basedOn w:val="a0"/>
    <w:uiPriority w:val="99"/>
    <w:semiHidden/>
    <w:unhideWhenUsed/>
    <w:rsid w:val="003F5383"/>
    <w:rPr>
      <w:sz w:val="16"/>
      <w:szCs w:val="16"/>
    </w:rPr>
  </w:style>
  <w:style w:type="paragraph" w:styleId="ab">
    <w:name w:val="annotation text"/>
    <w:basedOn w:val="a"/>
    <w:link w:val="ac"/>
    <w:uiPriority w:val="99"/>
    <w:semiHidden/>
    <w:unhideWhenUsed/>
    <w:rsid w:val="003F5383"/>
    <w:pPr>
      <w:spacing w:line="240" w:lineRule="auto"/>
    </w:pPr>
    <w:rPr>
      <w:sz w:val="20"/>
      <w:szCs w:val="20"/>
    </w:rPr>
  </w:style>
  <w:style w:type="character" w:customStyle="1" w:styleId="ac">
    <w:name w:val="טקסט הערה תו"/>
    <w:basedOn w:val="a0"/>
    <w:link w:val="ab"/>
    <w:uiPriority w:val="99"/>
    <w:semiHidden/>
    <w:rsid w:val="003F5383"/>
    <w:rPr>
      <w:sz w:val="20"/>
      <w:szCs w:val="20"/>
    </w:rPr>
  </w:style>
  <w:style w:type="paragraph" w:styleId="ad">
    <w:name w:val="annotation subject"/>
    <w:basedOn w:val="ab"/>
    <w:next w:val="ab"/>
    <w:link w:val="ae"/>
    <w:uiPriority w:val="99"/>
    <w:semiHidden/>
    <w:unhideWhenUsed/>
    <w:rsid w:val="003F5383"/>
    <w:rPr>
      <w:b/>
      <w:bCs/>
    </w:rPr>
  </w:style>
  <w:style w:type="character" w:customStyle="1" w:styleId="ae">
    <w:name w:val="נושא הערה תו"/>
    <w:basedOn w:val="ac"/>
    <w:link w:val="ad"/>
    <w:uiPriority w:val="99"/>
    <w:semiHidden/>
    <w:rsid w:val="003F53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5ABC9EED-DCD0-4F4D-8883-4C8C3E44F9A5}">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2196</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גרמאו מנגיסטו</cp:lastModifiedBy>
  <cp:revision>2</cp:revision>
  <cp:lastPrinted>2017-11-13T12:38:00Z</cp:lastPrinted>
  <dcterms:created xsi:type="dcterms:W3CDTF">2025-02-03T10:46:00Z</dcterms:created>
  <dcterms:modified xsi:type="dcterms:W3CDTF">2025-02-03T10:46:00Z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02 בפברואר 2025</vt:lpwstr>
  </property>
  <property fmtid="{D5CDD505-2E9C-101B-9397-08002B2CF9AE}" pid="3" name="DocDateHeb">
    <vt:lpwstr>ד' בשבט תשפ"ה</vt:lpwstr>
  </property>
  <property fmtid="{D5CDD505-2E9C-101B-9397-08002B2CF9AE}" pid="4" name="DocNumber">
    <vt:lpwstr>4700-1039-2025-001154</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גזר הדין - תפ"ח 33269-04-22</vt:lpwstr>
  </property>
</Properties>
</file>